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E01D" w14:textId="6417666B" w:rsidR="00AA796B" w:rsidRDefault="00AA796B" w:rsidP="00AA796B">
      <w:pPr>
        <w:jc w:val="center"/>
        <w:rPr>
          <w:b/>
          <w:bCs/>
        </w:rPr>
      </w:pPr>
      <w:r>
        <w:rPr>
          <w:b/>
          <w:bCs/>
        </w:rPr>
        <w:t xml:space="preserve">Financial Aid </w:t>
      </w:r>
      <w:r w:rsidR="0049771B">
        <w:rPr>
          <w:b/>
          <w:bCs/>
        </w:rPr>
        <w:t xml:space="preserve">&amp; Scholarship </w:t>
      </w:r>
      <w:r>
        <w:rPr>
          <w:b/>
          <w:bCs/>
        </w:rPr>
        <w:t>Information</w:t>
      </w:r>
    </w:p>
    <w:p w14:paraId="5AF26172" w14:textId="77777777" w:rsidR="00AA796B" w:rsidRDefault="00AA796B" w:rsidP="00AA796B">
      <w:pPr>
        <w:jc w:val="center"/>
        <w:rPr>
          <w:b/>
          <w:bCs/>
        </w:rPr>
      </w:pPr>
    </w:p>
    <w:p w14:paraId="1F913300" w14:textId="215443FD" w:rsidR="00AA796B" w:rsidRDefault="00AA796B" w:rsidP="00AA796B">
      <w:r>
        <w:t xml:space="preserve">Tyndale offers financial aid based on </w:t>
      </w:r>
      <w:r w:rsidR="00FB7963">
        <w:t>merit,</w:t>
      </w:r>
      <w:r>
        <w:t xml:space="preserve"> considering academic performance</w:t>
      </w:r>
      <w:r w:rsidR="00FB7963">
        <w:t>, and need</w:t>
      </w:r>
      <w:r>
        <w:t>.</w:t>
      </w:r>
    </w:p>
    <w:p w14:paraId="205E3FA6" w14:textId="0FABF390" w:rsidR="00AA796B" w:rsidRDefault="00AA796B" w:rsidP="00AA796B">
      <w:r>
        <w:t xml:space="preserve">To be considered for a scholarship of any kind, the applicant must be accepted into the MDiv or MET program. Financial disclosure forms should be completed by an applicant during the admissions process. However, there </w:t>
      </w:r>
      <w:r w:rsidR="00A60EE0">
        <w:t>is one</w:t>
      </w:r>
      <w:r>
        <w:t xml:space="preserve"> opportunit</w:t>
      </w:r>
      <w:r w:rsidR="00A60EE0">
        <w:t>y</w:t>
      </w:r>
      <w:r>
        <w:t xml:space="preserve"> </w:t>
      </w:r>
      <w:r w:rsidR="00A60EE0">
        <w:t>each</w:t>
      </w:r>
      <w:r>
        <w:t xml:space="preserve"> year </w:t>
      </w:r>
      <w:r w:rsidR="00A60EE0">
        <w:t xml:space="preserve">in </w:t>
      </w:r>
      <w:r w:rsidR="00E42A52">
        <w:t>April</w:t>
      </w:r>
      <w:r w:rsidR="00A60EE0">
        <w:t xml:space="preserve"> </w:t>
      </w:r>
      <w:r>
        <w:t xml:space="preserve">for an enrolled student to ask to be considered for financial aid. All financial aid is granted with an expectation of hours given on a weekly basis to serve the community by helping in the kitchen, cleaning various areas of the school, maintaining the outside grounds, etc. </w:t>
      </w:r>
    </w:p>
    <w:p w14:paraId="5ABC8311" w14:textId="77777777" w:rsidR="00AA796B" w:rsidRDefault="00AA796B" w:rsidP="00AA796B"/>
    <w:p w14:paraId="0CFD131F" w14:textId="77777777" w:rsidR="00AA796B" w:rsidRDefault="00AA796B" w:rsidP="00AA796B">
      <w:r>
        <w:t xml:space="preserve">If financial aid is granted, additional forms will be required during the student’s program so that Tyndale will have the most accurate and updated picture of a student’s financial status. The administration may also require additional information if a student gets married during his or her studies. He or she may have more, or less resources available and therefore, a review will be in order. </w:t>
      </w:r>
    </w:p>
    <w:p w14:paraId="63D34DF9" w14:textId="77777777" w:rsidR="00AA796B" w:rsidRDefault="00AA796B" w:rsidP="00AA796B"/>
    <w:p w14:paraId="3C632EC3" w14:textId="77777777" w:rsidR="00AA796B" w:rsidRDefault="00AA796B" w:rsidP="00AA796B">
      <w:r>
        <w:t xml:space="preserve">There are many factors that are considered in granting a new scholarship or the extension of an original scholarship, these include things like grades, performance of community duties, etc. A more extensive description of these items is found in the </w:t>
      </w:r>
      <w:r w:rsidRPr="007822C1">
        <w:rPr>
          <w:u w:val="single"/>
        </w:rPr>
        <w:t>Community Life Handbook</w:t>
      </w:r>
      <w:r>
        <w:t>, section 12.</w:t>
      </w:r>
    </w:p>
    <w:p w14:paraId="4405B87F" w14:textId="77777777" w:rsidR="00AA796B" w:rsidRDefault="00AA796B" w:rsidP="00AA796B">
      <w:pPr>
        <w:jc w:val="center"/>
        <w:rPr>
          <w:b/>
          <w:bCs/>
        </w:rPr>
      </w:pPr>
    </w:p>
    <w:p w14:paraId="2A83A8D2" w14:textId="77777777" w:rsidR="00AA796B" w:rsidRDefault="00AA796B" w:rsidP="00AA796B">
      <w:pPr>
        <w:rPr>
          <w:b/>
          <w:bCs/>
        </w:rPr>
      </w:pPr>
      <w:bookmarkStart w:id="0" w:name="_Hlk149147484"/>
      <w:r w:rsidRPr="00BE6402">
        <w:rPr>
          <w:b/>
          <w:bCs/>
        </w:rPr>
        <w:t>Fees Not Covered by Financial Aid</w:t>
      </w:r>
      <w:r>
        <w:rPr>
          <w:b/>
          <w:bCs/>
        </w:rPr>
        <w:t xml:space="preserve"> for Anyone</w:t>
      </w:r>
    </w:p>
    <w:p w14:paraId="17F03B1C" w14:textId="77777777" w:rsidR="00AA796B" w:rsidRDefault="00AA796B" w:rsidP="00AA796B">
      <w:pPr>
        <w:pStyle w:val="ListParagraph"/>
        <w:numPr>
          <w:ilvl w:val="0"/>
          <w:numId w:val="1"/>
        </w:numPr>
      </w:pPr>
      <w:r>
        <w:t>Residence Permits (Visas) (the amount is set by the Dutch government)</w:t>
      </w:r>
    </w:p>
    <w:p w14:paraId="76186B33" w14:textId="77777777" w:rsidR="00AA796B" w:rsidRDefault="00AA796B" w:rsidP="00AA796B">
      <w:pPr>
        <w:pStyle w:val="ListParagraph"/>
        <w:numPr>
          <w:ilvl w:val="0"/>
          <w:numId w:val="1"/>
        </w:numPr>
      </w:pPr>
      <w:r>
        <w:t>One-time educational fee for full scholarship students (€500)</w:t>
      </w:r>
    </w:p>
    <w:p w14:paraId="21D56F0D" w14:textId="77777777" w:rsidR="00AA796B" w:rsidRDefault="00AA796B" w:rsidP="00AA796B">
      <w:pPr>
        <w:pStyle w:val="ListParagraph"/>
        <w:numPr>
          <w:ilvl w:val="0"/>
          <w:numId w:val="1"/>
        </w:numPr>
      </w:pPr>
      <w:r>
        <w:t>Graduation Fee (€50)</w:t>
      </w:r>
    </w:p>
    <w:p w14:paraId="14121261" w14:textId="77777777" w:rsidR="00AA796B" w:rsidRDefault="00AA796B" w:rsidP="00AA796B">
      <w:pPr>
        <w:pStyle w:val="ListParagraph"/>
        <w:numPr>
          <w:ilvl w:val="0"/>
          <w:numId w:val="1"/>
        </w:numPr>
      </w:pPr>
      <w:r>
        <w:t xml:space="preserve">Continuation Fee – </w:t>
      </w:r>
      <w:bookmarkStart w:id="1" w:name="_Hlk149156969"/>
      <w:r>
        <w:t xml:space="preserve">remaining in a program, but not registering for classes for a year </w:t>
      </w:r>
      <w:bookmarkEnd w:id="1"/>
      <w:r>
        <w:t>(€55/year)</w:t>
      </w:r>
    </w:p>
    <w:p w14:paraId="1457BFC0" w14:textId="77777777" w:rsidR="00AA796B" w:rsidRDefault="00AA796B" w:rsidP="00AA796B">
      <w:pPr>
        <w:pStyle w:val="ListParagraph"/>
        <w:numPr>
          <w:ilvl w:val="0"/>
          <w:numId w:val="1"/>
        </w:numPr>
      </w:pPr>
      <w:r>
        <w:t>Student Association Fee (€35/year)</w:t>
      </w:r>
    </w:p>
    <w:p w14:paraId="0563D82F" w14:textId="77777777" w:rsidR="00AA796B" w:rsidRDefault="00AA796B" w:rsidP="00AA796B">
      <w:pPr>
        <w:pStyle w:val="ListParagraph"/>
        <w:numPr>
          <w:ilvl w:val="0"/>
          <w:numId w:val="1"/>
        </w:numPr>
      </w:pPr>
      <w:r>
        <w:t>MET Thesis Binding Fee (€50 for the library copy and an additional €50 for each copy the student wants bound)</w:t>
      </w:r>
    </w:p>
    <w:p w14:paraId="626935B9" w14:textId="77777777" w:rsidR="00AA796B" w:rsidRDefault="00AA796B" w:rsidP="00AA796B">
      <w:pPr>
        <w:pStyle w:val="ListParagraph"/>
        <w:numPr>
          <w:ilvl w:val="0"/>
          <w:numId w:val="1"/>
        </w:numPr>
      </w:pPr>
      <w:r w:rsidRPr="00A91B6F">
        <w:t>Lost Room Keys (€50 per key, €10 per fob)</w:t>
      </w:r>
    </w:p>
    <w:p w14:paraId="793EF250" w14:textId="77777777" w:rsidR="00AA796B" w:rsidRPr="00BE6402" w:rsidRDefault="00AA796B" w:rsidP="00AA796B">
      <w:pPr>
        <w:pStyle w:val="ListParagraph"/>
        <w:numPr>
          <w:ilvl w:val="0"/>
          <w:numId w:val="1"/>
        </w:numPr>
      </w:pPr>
      <w:bookmarkStart w:id="2" w:name="_Hlk149148050"/>
      <w:r>
        <w:t xml:space="preserve">Printing and Copying using the Tyndale printer (€0.05/page B&amp;W, €0.10/page </w:t>
      </w:r>
      <w:proofErr w:type="spellStart"/>
      <w:r>
        <w:t>color</w:t>
      </w:r>
      <w:proofErr w:type="spellEnd"/>
      <w:r>
        <w:t>)</w:t>
      </w:r>
    </w:p>
    <w:bookmarkEnd w:id="0"/>
    <w:bookmarkEnd w:id="2"/>
    <w:p w14:paraId="22A7B49D" w14:textId="77777777" w:rsidR="00AA796B" w:rsidRDefault="00AA796B" w:rsidP="00AA796B">
      <w:pPr>
        <w:rPr>
          <w:b/>
          <w:bCs/>
        </w:rPr>
      </w:pPr>
      <w:r w:rsidRPr="00A91B6F">
        <w:rPr>
          <w:b/>
          <w:bCs/>
        </w:rPr>
        <w:lastRenderedPageBreak/>
        <w:t>Full Scholarship Grants</w:t>
      </w:r>
    </w:p>
    <w:p w14:paraId="16C8BAC3" w14:textId="77777777" w:rsidR="00AA796B" w:rsidRDefault="00AA796B" w:rsidP="00AA796B">
      <w:r>
        <w:t>If a student is granted a “full scholarship,” and is living in the dorm, he is expected to take classes on a full-time basis and complete his program in 2 years for MET and 3 years for MDiv.  A full scholarship covers the following items:</w:t>
      </w:r>
    </w:p>
    <w:p w14:paraId="2DB18882" w14:textId="77777777" w:rsidR="00AA796B" w:rsidRDefault="00AA796B" w:rsidP="00AA796B">
      <w:pPr>
        <w:pStyle w:val="ListParagraph"/>
        <w:numPr>
          <w:ilvl w:val="0"/>
          <w:numId w:val="2"/>
        </w:numPr>
      </w:pPr>
      <w:r>
        <w:t>Room and board if living in Tyndale’s dormitory</w:t>
      </w:r>
    </w:p>
    <w:p w14:paraId="0ECEA983" w14:textId="77777777" w:rsidR="00AA796B" w:rsidRDefault="00AA796B" w:rsidP="00AA796B">
      <w:pPr>
        <w:pStyle w:val="ListParagraph"/>
        <w:numPr>
          <w:ilvl w:val="0"/>
          <w:numId w:val="2"/>
        </w:numPr>
      </w:pPr>
      <w:r>
        <w:t>Tuition</w:t>
      </w:r>
    </w:p>
    <w:p w14:paraId="18A6232C" w14:textId="7DAEF88D" w:rsidR="00E42A52" w:rsidRDefault="00E42A52" w:rsidP="00AA796B">
      <w:pPr>
        <w:pStyle w:val="ListParagraph"/>
        <w:numPr>
          <w:ilvl w:val="0"/>
          <w:numId w:val="2"/>
        </w:numPr>
      </w:pPr>
      <w:r>
        <w:t>Technology Fee</w:t>
      </w:r>
    </w:p>
    <w:p w14:paraId="2949C89A" w14:textId="77777777" w:rsidR="00AA796B" w:rsidRDefault="00AA796B" w:rsidP="00AA796B">
      <w:pPr>
        <w:pStyle w:val="ListParagraph"/>
        <w:numPr>
          <w:ilvl w:val="0"/>
          <w:numId w:val="2"/>
        </w:numPr>
      </w:pPr>
      <w:r>
        <w:t>Textbooks required for classes</w:t>
      </w:r>
    </w:p>
    <w:p w14:paraId="0EA196C3" w14:textId="465D22D1" w:rsidR="00AA796B" w:rsidRDefault="00AA796B" w:rsidP="00AA796B">
      <w:pPr>
        <w:pStyle w:val="ListParagraph"/>
        <w:numPr>
          <w:ilvl w:val="0"/>
          <w:numId w:val="2"/>
        </w:numPr>
      </w:pPr>
      <w:r>
        <w:t>Traveler’s medical insurance</w:t>
      </w:r>
      <w:r w:rsidR="00A60EE0">
        <w:t xml:space="preserve"> – only if the student has a visa through Tyndale </w:t>
      </w:r>
      <w:r>
        <w:t>(If a student gets a job, Dutch health insurance will then be required and the student must pay for this.)</w:t>
      </w:r>
    </w:p>
    <w:p w14:paraId="68217002" w14:textId="77777777" w:rsidR="00AA796B" w:rsidRDefault="00AA796B" w:rsidP="00AA796B">
      <w:pPr>
        <w:pStyle w:val="ListParagraph"/>
        <w:numPr>
          <w:ilvl w:val="0"/>
          <w:numId w:val="2"/>
        </w:numPr>
      </w:pPr>
      <w:r>
        <w:t>Monthly stipend (If a student gets a job, this may not be given.)</w:t>
      </w:r>
    </w:p>
    <w:p w14:paraId="65D2ED44" w14:textId="77777777" w:rsidR="00AA796B" w:rsidRDefault="00AA796B" w:rsidP="00AA796B"/>
    <w:p w14:paraId="67E54329" w14:textId="77777777" w:rsidR="00AA796B" w:rsidRDefault="00AA796B" w:rsidP="00AA796B">
      <w:pPr>
        <w:rPr>
          <w:b/>
          <w:bCs/>
        </w:rPr>
      </w:pPr>
      <w:r w:rsidRPr="00A91B6F">
        <w:rPr>
          <w:b/>
          <w:bCs/>
        </w:rPr>
        <w:t>Clergy Scholarships</w:t>
      </w:r>
    </w:p>
    <w:p w14:paraId="614E6697" w14:textId="49B1EE67" w:rsidR="00AA796B" w:rsidRDefault="00F93997" w:rsidP="00AA796B">
      <w:r w:rsidRPr="00F93997">
        <w:t xml:space="preserve">Tyndale offers financial aid in the form of a Clergy Scholarship for those students who are involved in Christian ministry as their vocation. To qualify for this scholarship, the student must receive his or her normal salary from a church or other Christian organization. If qualified, the student may receive a Clergy Scholarship for up to a 50% reduction toward tuition. If a student receives a Clergy Scholarship, it must be renewed by completing the “Partial Scholarship Request Form” every year in </w:t>
      </w:r>
      <w:r w:rsidR="00E42A52">
        <w:t>April</w:t>
      </w:r>
      <w:r w:rsidRPr="00F93997">
        <w:t>. Notification of the actual dates will be sent by email from the Vice President of Operations and Administration. (A person cannot receive this scholarship and a room and board scholarship.)</w:t>
      </w:r>
      <w:r w:rsidR="00AA796B">
        <w:t xml:space="preserve"> </w:t>
      </w:r>
    </w:p>
    <w:p w14:paraId="17C2A1E0" w14:textId="77777777" w:rsidR="00AA796B" w:rsidRDefault="00AA796B" w:rsidP="00AA796B"/>
    <w:p w14:paraId="20C8BAE2" w14:textId="77777777" w:rsidR="00AA796B" w:rsidRDefault="00AA796B" w:rsidP="00AA796B">
      <w:pPr>
        <w:rPr>
          <w:b/>
          <w:bCs/>
        </w:rPr>
      </w:pPr>
      <w:r w:rsidRPr="00A91B6F">
        <w:rPr>
          <w:b/>
          <w:bCs/>
        </w:rPr>
        <w:t>Partial Scholarships</w:t>
      </w:r>
    </w:p>
    <w:p w14:paraId="1EA43B35" w14:textId="0021C2BE" w:rsidR="00AA796B" w:rsidRDefault="00F93997" w:rsidP="00AA796B">
      <w:r w:rsidRPr="00F93997">
        <w:t xml:space="preserve">Tyndale offers a limited number of Partial Scholarships. Such scholarships are based on merit and need and are normally awarded on an annual basis. If a student receives a Partial Scholarship, it must be renewed by completing the “Partial Scholarship Request Form” every year in </w:t>
      </w:r>
      <w:r w:rsidR="00E42A52">
        <w:t>April</w:t>
      </w:r>
      <w:r w:rsidRPr="00F93997">
        <w:t>. Notification of the actual date will be sent by email from the Vice President of Operations and Administration. Partial Scholarships may be directed toward a student’s cost for room and board, tuition or books as determined by the administration.</w:t>
      </w:r>
    </w:p>
    <w:p w14:paraId="2B776122" w14:textId="77777777" w:rsidR="00F93997" w:rsidRDefault="00F93997" w:rsidP="00AA796B"/>
    <w:p w14:paraId="34A7482C" w14:textId="77777777" w:rsidR="00AA796B" w:rsidRPr="00127E83" w:rsidRDefault="00AA796B" w:rsidP="00AA796B">
      <w:pPr>
        <w:rPr>
          <w:b/>
          <w:bCs/>
        </w:rPr>
      </w:pPr>
      <w:r w:rsidRPr="00127E83">
        <w:rPr>
          <w:b/>
          <w:bCs/>
        </w:rPr>
        <w:t>Personal Sponsors</w:t>
      </w:r>
      <w:r>
        <w:rPr>
          <w:b/>
          <w:bCs/>
        </w:rPr>
        <w:t xml:space="preserve"> or Self-Pay</w:t>
      </w:r>
    </w:p>
    <w:p w14:paraId="4D9CAC35" w14:textId="0BC6AAB8" w:rsidR="000D294C" w:rsidRDefault="00AA796B">
      <w:r>
        <w:t>A student may have to provide documentation of personal sponsorship if he or she has not been awarded a complete scholarship. If this is the case for acceptance of admission, then the total costs for the first year at Tyndale will need to be paid upfront by the student or sponsor before arrival at Tyndale.</w:t>
      </w:r>
    </w:p>
    <w:sectPr w:rsidR="000D294C">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B5EC" w14:textId="77777777" w:rsidR="00CF5A1E" w:rsidRDefault="00CF5A1E">
      <w:pPr>
        <w:spacing w:line="240" w:lineRule="auto"/>
      </w:pPr>
      <w:r>
        <w:separator/>
      </w:r>
    </w:p>
  </w:endnote>
  <w:endnote w:type="continuationSeparator" w:id="0">
    <w:p w14:paraId="05976F78" w14:textId="77777777" w:rsidR="00CF5A1E" w:rsidRDefault="00CF5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Light">
    <w:charset w:val="00"/>
    <w:family w:val="auto"/>
    <w:pitch w:val="variable"/>
    <w:sig w:usb0="A00002FF" w:usb1="5000204B" w:usb2="00000000" w:usb3="00000000" w:csb0="00000197" w:csb1="00000000"/>
  </w:font>
  <w:font w:name="Playfa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366E" w14:textId="77777777" w:rsidR="00CD34E9" w:rsidRDefault="00CD3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FA87" w14:textId="77777777" w:rsidR="00CD34E9" w:rsidRDefault="00CD34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0E3C" w14:textId="77777777" w:rsidR="000D294C" w:rsidRDefault="000D29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961C" w14:textId="77777777" w:rsidR="00CF5A1E" w:rsidRDefault="00CF5A1E">
      <w:pPr>
        <w:spacing w:line="240" w:lineRule="auto"/>
      </w:pPr>
      <w:r>
        <w:separator/>
      </w:r>
    </w:p>
  </w:footnote>
  <w:footnote w:type="continuationSeparator" w:id="0">
    <w:p w14:paraId="1E1D41B9" w14:textId="77777777" w:rsidR="00CF5A1E" w:rsidRDefault="00CF5A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DEEA" w14:textId="77777777" w:rsidR="00CD34E9" w:rsidRDefault="00CD3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A14F" w14:textId="77777777" w:rsidR="000D294C" w:rsidRDefault="000D294C">
    <w:pPr>
      <w:ind w:left="-56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25426" w14:textId="77777777" w:rsidR="000D294C" w:rsidRDefault="00000000">
    <w:pPr>
      <w:ind w:left="-566"/>
    </w:pPr>
    <w:r>
      <w:rPr>
        <w:noProof/>
      </w:rPr>
      <w:drawing>
        <wp:anchor distT="114300" distB="114300" distL="114300" distR="114300" simplePos="0" relativeHeight="251658240" behindDoc="0" locked="0" layoutInCell="1" hidden="0" allowOverlap="1" wp14:anchorId="29290B1A" wp14:editId="269B9B12">
          <wp:simplePos x="0" y="0"/>
          <wp:positionH relativeFrom="column">
            <wp:posOffset>-161924</wp:posOffset>
          </wp:positionH>
          <wp:positionV relativeFrom="paragraph">
            <wp:posOffset>219133</wp:posOffset>
          </wp:positionV>
          <wp:extent cx="2909888" cy="80722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09888" cy="807228"/>
                  </a:xfrm>
                  <a:prstGeom prst="rect">
                    <a:avLst/>
                  </a:prstGeom>
                  <a:ln/>
                </pic:spPr>
              </pic:pic>
            </a:graphicData>
          </a:graphic>
        </wp:anchor>
      </w:drawing>
    </w:r>
  </w:p>
  <w:tbl>
    <w:tblPr>
      <w:tblStyle w:val="a"/>
      <w:tblpPr w:leftFromText="180" w:rightFromText="180" w:topFromText="180" w:bottomFromText="180" w:vertAnchor="text"/>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0"/>
      <w:gridCol w:w="2880"/>
    </w:tblGrid>
    <w:tr w:rsidR="000D294C" w14:paraId="5890423F" w14:textId="77777777">
      <w:tc>
        <w:tcPr>
          <w:tcW w:w="6690" w:type="dxa"/>
          <w:tcBorders>
            <w:top w:val="nil"/>
            <w:left w:val="nil"/>
            <w:bottom w:val="nil"/>
            <w:right w:val="nil"/>
          </w:tcBorders>
        </w:tcPr>
        <w:p w14:paraId="72431449" w14:textId="77777777" w:rsidR="000D294C" w:rsidRDefault="000D294C">
          <w:pPr>
            <w:widowControl w:val="0"/>
            <w:spacing w:line="240" w:lineRule="auto"/>
          </w:pPr>
        </w:p>
      </w:tc>
      <w:tc>
        <w:tcPr>
          <w:tcW w:w="2880" w:type="dxa"/>
          <w:tcBorders>
            <w:top w:val="nil"/>
            <w:left w:val="nil"/>
            <w:bottom w:val="nil"/>
            <w:right w:val="nil"/>
          </w:tcBorders>
        </w:tcPr>
        <w:p w14:paraId="126E3699" w14:textId="77777777" w:rsidR="000D294C" w:rsidRDefault="00000000">
          <w:pPr>
            <w:widowControl w:val="0"/>
            <w:spacing w:line="240" w:lineRule="auto"/>
            <w:ind w:right="-679"/>
            <w:rPr>
              <w:sz w:val="20"/>
              <w:szCs w:val="20"/>
            </w:rPr>
          </w:pPr>
          <w:proofErr w:type="spellStart"/>
          <w:r>
            <w:rPr>
              <w:sz w:val="20"/>
              <w:szCs w:val="20"/>
            </w:rPr>
            <w:t>Egelantierstraat</w:t>
          </w:r>
          <w:proofErr w:type="spellEnd"/>
          <w:r>
            <w:rPr>
              <w:sz w:val="20"/>
              <w:szCs w:val="20"/>
            </w:rPr>
            <w:t xml:space="preserve"> 1</w:t>
          </w:r>
        </w:p>
        <w:p w14:paraId="29314BA6" w14:textId="125FC558" w:rsidR="000D294C" w:rsidRDefault="00000000">
          <w:pPr>
            <w:widowControl w:val="0"/>
            <w:spacing w:line="240" w:lineRule="auto"/>
            <w:rPr>
              <w:sz w:val="20"/>
              <w:szCs w:val="20"/>
            </w:rPr>
          </w:pPr>
          <w:r>
            <w:rPr>
              <w:sz w:val="20"/>
              <w:szCs w:val="20"/>
            </w:rPr>
            <w:t xml:space="preserve">1171 </w:t>
          </w:r>
          <w:r w:rsidR="00CD34E9">
            <w:rPr>
              <w:sz w:val="20"/>
              <w:szCs w:val="20"/>
            </w:rPr>
            <w:t>JM</w:t>
          </w:r>
          <w:r>
            <w:rPr>
              <w:sz w:val="20"/>
              <w:szCs w:val="20"/>
            </w:rPr>
            <w:t xml:space="preserve"> </w:t>
          </w:r>
          <w:proofErr w:type="spellStart"/>
          <w:r>
            <w:rPr>
              <w:sz w:val="20"/>
              <w:szCs w:val="20"/>
            </w:rPr>
            <w:t>Badhoevedorp</w:t>
          </w:r>
          <w:proofErr w:type="spellEnd"/>
        </w:p>
        <w:p w14:paraId="632FDE64" w14:textId="77777777" w:rsidR="000D294C" w:rsidRDefault="00000000">
          <w:pPr>
            <w:widowControl w:val="0"/>
            <w:spacing w:line="240" w:lineRule="auto"/>
            <w:rPr>
              <w:sz w:val="20"/>
              <w:szCs w:val="20"/>
            </w:rPr>
          </w:pPr>
          <w:r>
            <w:rPr>
              <w:sz w:val="20"/>
              <w:szCs w:val="20"/>
            </w:rPr>
            <w:t>The Netherlands</w:t>
          </w:r>
        </w:p>
        <w:p w14:paraId="3E73A048" w14:textId="77777777" w:rsidR="000D294C" w:rsidRDefault="00000000">
          <w:pPr>
            <w:widowControl w:val="0"/>
            <w:spacing w:line="240" w:lineRule="auto"/>
            <w:rPr>
              <w:sz w:val="20"/>
              <w:szCs w:val="20"/>
            </w:rPr>
          </w:pPr>
          <w:r>
            <w:rPr>
              <w:sz w:val="20"/>
              <w:szCs w:val="20"/>
            </w:rPr>
            <w:t>+31 (0)20 - 659 64 55</w:t>
          </w:r>
        </w:p>
        <w:p w14:paraId="74D8D0F4" w14:textId="77777777" w:rsidR="000D294C" w:rsidRDefault="00000000">
          <w:pPr>
            <w:widowControl w:val="0"/>
            <w:spacing w:line="240" w:lineRule="auto"/>
            <w:rPr>
              <w:sz w:val="20"/>
              <w:szCs w:val="20"/>
            </w:rPr>
          </w:pPr>
          <w:r>
            <w:rPr>
              <w:sz w:val="20"/>
              <w:szCs w:val="20"/>
            </w:rPr>
            <w:t>info@tyndale-europe.edu</w:t>
          </w:r>
        </w:p>
        <w:p w14:paraId="3CD528F0" w14:textId="77777777" w:rsidR="000D294C" w:rsidRDefault="00000000">
          <w:pPr>
            <w:widowControl w:val="0"/>
            <w:spacing w:line="240" w:lineRule="auto"/>
            <w:rPr>
              <w:sz w:val="20"/>
              <w:szCs w:val="20"/>
            </w:rPr>
          </w:pPr>
          <w:r>
            <w:rPr>
              <w:sz w:val="20"/>
              <w:szCs w:val="20"/>
            </w:rPr>
            <w:t>tyndale-europe.edu</w:t>
          </w:r>
        </w:p>
      </w:tc>
    </w:tr>
  </w:tbl>
  <w:p w14:paraId="314A5A88" w14:textId="77777777" w:rsidR="000D294C" w:rsidRDefault="000D294C">
    <w:pPr>
      <w:ind w:left="-566"/>
    </w:pPr>
  </w:p>
  <w:p w14:paraId="0C7FDF9D" w14:textId="77777777" w:rsidR="000D294C" w:rsidRDefault="000D2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B2FF0"/>
    <w:multiLevelType w:val="hybridMultilevel"/>
    <w:tmpl w:val="7E0ACA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1881C3E"/>
    <w:multiLevelType w:val="hybridMultilevel"/>
    <w:tmpl w:val="36EA3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52100597">
    <w:abstractNumId w:val="0"/>
  </w:num>
  <w:num w:numId="2" w16cid:durableId="975573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4C"/>
    <w:rsid w:val="000D294C"/>
    <w:rsid w:val="001949B0"/>
    <w:rsid w:val="001C14EF"/>
    <w:rsid w:val="002B27B3"/>
    <w:rsid w:val="003D6768"/>
    <w:rsid w:val="00450355"/>
    <w:rsid w:val="0049771B"/>
    <w:rsid w:val="007A1908"/>
    <w:rsid w:val="00911ABB"/>
    <w:rsid w:val="00A60EE0"/>
    <w:rsid w:val="00AA796B"/>
    <w:rsid w:val="00B8250C"/>
    <w:rsid w:val="00B83C0E"/>
    <w:rsid w:val="00BA7890"/>
    <w:rsid w:val="00CD34E9"/>
    <w:rsid w:val="00CF2DD0"/>
    <w:rsid w:val="00CF5A1E"/>
    <w:rsid w:val="00E42A52"/>
    <w:rsid w:val="00F73BF3"/>
    <w:rsid w:val="00F879AD"/>
    <w:rsid w:val="00F93997"/>
    <w:rsid w:val="00FB7963"/>
    <w:rsid w:val="00FE2B9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7095"/>
  <w15:docId w15:val="{D7D9ADEE-0F00-4004-8C31-CDA54F13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Light" w:eastAsia="Nunito Light" w:hAnsi="Nunito Light" w:cs="Nunito Light"/>
        <w:sz w:val="22"/>
        <w:szCs w:val="22"/>
        <w:lang w:val="en-GB" w:eastAsia="en-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rFonts w:ascii="Playfair" w:eastAsia="Playfair" w:hAnsi="Playfair" w:cs="Playfair"/>
      <w:sz w:val="40"/>
      <w:szCs w:val="40"/>
    </w:rPr>
  </w:style>
  <w:style w:type="paragraph" w:styleId="Heading2">
    <w:name w:val="heading 2"/>
    <w:basedOn w:val="Normal"/>
    <w:next w:val="Normal"/>
    <w:uiPriority w:val="9"/>
    <w:semiHidden/>
    <w:unhideWhenUsed/>
    <w:qFormat/>
    <w:pPr>
      <w:keepNext/>
      <w:keepLines/>
      <w:spacing w:before="360" w:after="120"/>
      <w:outlineLvl w:val="1"/>
    </w:pPr>
    <w:rPr>
      <w:rFonts w:ascii="Playfair" w:eastAsia="Playfair" w:hAnsi="Playfair" w:cs="Playfair"/>
      <w:sz w:val="32"/>
      <w:szCs w:val="32"/>
    </w:rPr>
  </w:style>
  <w:style w:type="paragraph" w:styleId="Heading3">
    <w:name w:val="heading 3"/>
    <w:basedOn w:val="Normal"/>
    <w:next w:val="Normal"/>
    <w:uiPriority w:val="9"/>
    <w:semiHidden/>
    <w:unhideWhenUsed/>
    <w:qFormat/>
    <w:pPr>
      <w:keepNext/>
      <w:keepLines/>
      <w:outlineLvl w:val="2"/>
    </w:pPr>
    <w:rPr>
      <w:rFonts w:ascii="Playfair" w:eastAsia="Playfair" w:hAnsi="Playfair" w:cs="Playfair"/>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360" w:lineRule="auto"/>
    </w:pPr>
    <w:rPr>
      <w:rFonts w:ascii="Playfair" w:eastAsia="Playfair" w:hAnsi="Playfair" w:cs="Playfai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A796B"/>
    <w:pPr>
      <w:ind w:left="720"/>
      <w:contextualSpacing/>
    </w:pPr>
  </w:style>
  <w:style w:type="paragraph" w:styleId="Header">
    <w:name w:val="header"/>
    <w:basedOn w:val="Normal"/>
    <w:link w:val="HeaderChar"/>
    <w:uiPriority w:val="99"/>
    <w:unhideWhenUsed/>
    <w:rsid w:val="00CD34E9"/>
    <w:pPr>
      <w:tabs>
        <w:tab w:val="center" w:pos="4513"/>
        <w:tab w:val="right" w:pos="9026"/>
      </w:tabs>
      <w:spacing w:line="240" w:lineRule="auto"/>
    </w:pPr>
  </w:style>
  <w:style w:type="character" w:customStyle="1" w:styleId="HeaderChar">
    <w:name w:val="Header Char"/>
    <w:basedOn w:val="DefaultParagraphFont"/>
    <w:link w:val="Header"/>
    <w:uiPriority w:val="99"/>
    <w:rsid w:val="00CD34E9"/>
  </w:style>
  <w:style w:type="paragraph" w:styleId="Footer">
    <w:name w:val="footer"/>
    <w:basedOn w:val="Normal"/>
    <w:link w:val="FooterChar"/>
    <w:uiPriority w:val="99"/>
    <w:unhideWhenUsed/>
    <w:rsid w:val="00CD34E9"/>
    <w:pPr>
      <w:tabs>
        <w:tab w:val="center" w:pos="4513"/>
        <w:tab w:val="right" w:pos="9026"/>
      </w:tabs>
      <w:spacing w:line="240" w:lineRule="auto"/>
    </w:pPr>
  </w:style>
  <w:style w:type="character" w:customStyle="1" w:styleId="FooterChar">
    <w:name w:val="Footer Char"/>
    <w:basedOn w:val="DefaultParagraphFont"/>
    <w:link w:val="Footer"/>
    <w:uiPriority w:val="99"/>
    <w:rsid w:val="00CD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Dahl</dc:creator>
  <cp:lastModifiedBy>Janice Dahl</cp:lastModifiedBy>
  <cp:revision>2</cp:revision>
  <dcterms:created xsi:type="dcterms:W3CDTF">2025-12-09T15:08:00Z</dcterms:created>
  <dcterms:modified xsi:type="dcterms:W3CDTF">2025-12-09T15:08:00Z</dcterms:modified>
</cp:coreProperties>
</file>